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131"/>
        <w:gridCol w:w="9429"/>
      </w:tblGrid>
      <w:tr w:rsidR="00663A33">
        <w:trPr>
          <w:trHeight w:hRule="exact" w:val="1785"/>
        </w:trPr>
        <w:tc>
          <w:tcPr>
            <w:tcW w:w="2131" w:type="dxa"/>
            <w:tcBorders>
              <w:top w:val="none" w:sz="0" w:space="0" w:color="000000"/>
              <w:left w:val="none" w:sz="0" w:space="0" w:color="000000"/>
              <w:bottom w:val="none" w:sz="0" w:space="0" w:color="000000"/>
              <w:right w:val="none" w:sz="0" w:space="0" w:color="000000"/>
            </w:tcBorders>
          </w:tcPr>
          <w:p w:rsidR="00663A33" w:rsidRDefault="0048295A">
            <w:pPr>
              <w:spacing w:before="6" w:after="18"/>
              <w:ind w:left="369"/>
              <w:jc w:val="right"/>
              <w:textAlignment w:val="baseline"/>
            </w:pPr>
            <w:r>
              <w:rPr>
                <w:noProof/>
              </w:rPr>
              <w:drawing>
                <wp:inline distT="0" distB="0" distL="0" distR="0">
                  <wp:extent cx="1118870" cy="11182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118870" cy="1118235"/>
                          </a:xfrm>
                          <a:prstGeom prst="rect">
                            <a:avLst/>
                          </a:prstGeom>
                        </pic:spPr>
                      </pic:pic>
                    </a:graphicData>
                  </a:graphic>
                </wp:inline>
              </w:drawing>
            </w:r>
          </w:p>
        </w:tc>
        <w:tc>
          <w:tcPr>
            <w:tcW w:w="9429" w:type="dxa"/>
            <w:tcBorders>
              <w:top w:val="none" w:sz="0" w:space="0" w:color="000000"/>
              <w:left w:val="none" w:sz="0" w:space="0" w:color="000000"/>
              <w:bottom w:val="none" w:sz="0" w:space="0" w:color="000000"/>
              <w:right w:val="none" w:sz="0" w:space="0" w:color="000000"/>
            </w:tcBorders>
          </w:tcPr>
          <w:p w:rsidR="00663A33" w:rsidRDefault="0048295A">
            <w:pPr>
              <w:spacing w:before="164" w:line="367" w:lineRule="exact"/>
              <w:ind w:right="2416"/>
              <w:jc w:val="right"/>
              <w:textAlignment w:val="baseline"/>
              <w:rPr>
                <w:rFonts w:ascii="Arial" w:eastAsia="Arial" w:hAnsi="Arial"/>
                <w:b/>
                <w:color w:val="000000"/>
                <w:sz w:val="32"/>
              </w:rPr>
            </w:pPr>
            <w:r>
              <w:rPr>
                <w:rFonts w:ascii="Arial" w:eastAsia="Arial" w:hAnsi="Arial"/>
                <w:b/>
                <w:color w:val="000000"/>
                <w:sz w:val="32"/>
              </w:rPr>
              <w:t>Trinity County Office of Emergency Services</w:t>
            </w:r>
          </w:p>
          <w:p w:rsidR="00663A33" w:rsidRDefault="0048295A">
            <w:pPr>
              <w:spacing w:line="244" w:lineRule="exact"/>
              <w:ind w:right="4756"/>
              <w:jc w:val="right"/>
              <w:textAlignment w:val="baseline"/>
              <w:rPr>
                <w:rFonts w:ascii="Arial" w:eastAsia="Arial" w:hAnsi="Arial"/>
                <w:color w:val="000000"/>
              </w:rPr>
            </w:pPr>
            <w:r>
              <w:rPr>
                <w:rFonts w:ascii="Arial" w:eastAsia="Arial" w:hAnsi="Arial"/>
                <w:color w:val="000000"/>
              </w:rPr>
              <w:t>Letty Garza, Director</w:t>
            </w:r>
          </w:p>
          <w:p w:rsidR="00663A33" w:rsidRDefault="0048295A">
            <w:pPr>
              <w:spacing w:before="8" w:line="246" w:lineRule="exact"/>
              <w:ind w:right="3564"/>
              <w:jc w:val="right"/>
              <w:textAlignment w:val="baseline"/>
              <w:rPr>
                <w:rFonts w:ascii="Arial" w:eastAsia="Arial" w:hAnsi="Arial"/>
                <w:color w:val="000000"/>
              </w:rPr>
            </w:pPr>
            <w:r>
              <w:rPr>
                <w:rFonts w:ascii="Arial" w:eastAsia="Arial" w:hAnsi="Arial"/>
                <w:color w:val="000000"/>
              </w:rPr>
              <w:t>Edward Prestley, Emergency Operations Manager</w:t>
            </w:r>
          </w:p>
          <w:p w:rsidR="00663A33" w:rsidRDefault="0048295A">
            <w:pPr>
              <w:spacing w:before="5" w:line="206" w:lineRule="exact"/>
              <w:ind w:right="4576"/>
              <w:jc w:val="right"/>
              <w:textAlignment w:val="baseline"/>
              <w:rPr>
                <w:rFonts w:ascii="Arial" w:eastAsia="Arial" w:hAnsi="Arial"/>
                <w:color w:val="000000"/>
                <w:sz w:val="18"/>
              </w:rPr>
            </w:pPr>
            <w:r>
              <w:rPr>
                <w:rFonts w:ascii="Arial" w:eastAsia="Arial" w:hAnsi="Arial"/>
                <w:color w:val="000000"/>
                <w:sz w:val="18"/>
              </w:rPr>
              <w:t>61 AIRPORT ROAD, SUITE B</w:t>
            </w:r>
          </w:p>
          <w:p w:rsidR="00663A33" w:rsidRDefault="0048295A">
            <w:pPr>
              <w:spacing w:line="206" w:lineRule="exact"/>
              <w:ind w:right="3564"/>
              <w:jc w:val="right"/>
              <w:textAlignment w:val="baseline"/>
              <w:rPr>
                <w:rFonts w:ascii="Arial" w:eastAsia="Arial" w:hAnsi="Arial"/>
                <w:color w:val="000000"/>
                <w:sz w:val="18"/>
              </w:rPr>
            </w:pPr>
            <w:r>
              <w:rPr>
                <w:rFonts w:ascii="Arial" w:eastAsia="Arial" w:hAnsi="Arial"/>
                <w:color w:val="000000"/>
                <w:sz w:val="18"/>
              </w:rPr>
              <w:t>P.O. BOX 399, WEAVERVILLE, CALIFORNIA 96093</w:t>
            </w:r>
          </w:p>
          <w:p w:rsidR="00663A33" w:rsidRDefault="0048295A">
            <w:pPr>
              <w:spacing w:before="1" w:after="123" w:line="206" w:lineRule="exact"/>
              <w:ind w:right="3856"/>
              <w:jc w:val="right"/>
              <w:textAlignment w:val="baseline"/>
              <w:rPr>
                <w:rFonts w:ascii="Arial" w:eastAsia="Arial" w:hAnsi="Arial"/>
                <w:color w:val="000000"/>
                <w:sz w:val="18"/>
              </w:rPr>
            </w:pPr>
            <w:r>
              <w:rPr>
                <w:rFonts w:ascii="Arial" w:eastAsia="Arial" w:hAnsi="Arial"/>
                <w:color w:val="000000"/>
                <w:sz w:val="18"/>
              </w:rPr>
              <w:t>PHONE (530) 623-1116 FAX (530) 623-5094</w:t>
            </w:r>
          </w:p>
        </w:tc>
      </w:tr>
    </w:tbl>
    <w:p w:rsidR="00663A33" w:rsidRDefault="00D73F43">
      <w:pPr>
        <w:spacing w:after="124" w:line="20" w:lineRule="exact"/>
      </w:pPr>
      <w:r>
        <w:rPr>
          <w:noProof/>
        </w:rPr>
        <mc:AlternateContent>
          <mc:Choice Requires="wps">
            <w:drawing>
              <wp:anchor distT="0" distB="0" distL="114300" distR="114300" simplePos="0" relativeHeight="251658240" behindDoc="1" locked="0" layoutInCell="1" allowOverlap="1" wp14:anchorId="2BB096B5" wp14:editId="309259B3">
                <wp:simplePos x="0" y="0"/>
                <wp:positionH relativeFrom="margin">
                  <wp:align>left</wp:align>
                </wp:positionH>
                <wp:positionV relativeFrom="page">
                  <wp:posOffset>2154555</wp:posOffset>
                </wp:positionV>
                <wp:extent cx="5907405" cy="0"/>
                <wp:effectExtent l="0" t="19050" r="55245" b="3810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0"/>
                        </a:xfrm>
                        <a:prstGeom prst="line">
                          <a:avLst/>
                        </a:prstGeom>
                        <a:noFill/>
                        <a:ln w="4889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20FB5E" id="Line 8"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9.65pt" to="465.1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8IGQIAADQEAAAOAAAAZHJzL2Uyb0RvYy54bWysU8GO2jAQvVfqP1i+QxIa2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" strokeweight="3.85pt">
                <v:stroke linestyle="thinThin"/>
                <w10:wrap type="topAndBottom" anchorx="margin" anchory="page"/>
              </v:line>
            </w:pict>
          </mc:Fallback>
        </mc:AlternateContent>
      </w:r>
    </w:p>
    <w:p w:rsidR="00A01702" w:rsidRPr="00E3516E" w:rsidRDefault="001D23AE" w:rsidP="00E45B82">
      <w:pPr>
        <w:jc w:val="center"/>
        <w:textAlignment w:val="baseline"/>
        <w:rPr>
          <w:rFonts w:ascii="Arial" w:eastAsia="Arial" w:hAnsi="Arial"/>
          <w:b/>
          <w:color w:val="000000"/>
          <w:spacing w:val="-1"/>
          <w:sz w:val="28"/>
          <w:szCs w:val="28"/>
        </w:rPr>
      </w:pPr>
      <w:r w:rsidRPr="00E3516E">
        <w:rPr>
          <w:rFonts w:ascii="Arial" w:eastAsia="Arial" w:hAnsi="Arial"/>
          <w:b/>
          <w:color w:val="000000"/>
          <w:spacing w:val="-1"/>
          <w:sz w:val="28"/>
          <w:szCs w:val="28"/>
        </w:rPr>
        <w:t xml:space="preserve">Press Release </w:t>
      </w:r>
    </w:p>
    <w:p w:rsidR="00663A33" w:rsidRPr="00E3516E" w:rsidRDefault="00821902" w:rsidP="00E45B82">
      <w:pPr>
        <w:jc w:val="center"/>
        <w:textAlignment w:val="baseline"/>
        <w:rPr>
          <w:rFonts w:ascii="Arial" w:eastAsia="Arial" w:hAnsi="Arial"/>
          <w:b/>
          <w:color w:val="000000"/>
          <w:spacing w:val="-1"/>
          <w:sz w:val="28"/>
          <w:szCs w:val="28"/>
        </w:rPr>
      </w:pPr>
      <w:r w:rsidRPr="00E3516E">
        <w:rPr>
          <w:rFonts w:ascii="Arial" w:eastAsia="Arial" w:hAnsi="Arial"/>
          <w:b/>
          <w:color w:val="000000"/>
          <w:spacing w:val="-1"/>
          <w:sz w:val="28"/>
          <w:szCs w:val="28"/>
        </w:rPr>
        <w:t xml:space="preserve">OES </w:t>
      </w:r>
      <w:r w:rsidR="001D23AE" w:rsidRPr="00E3516E">
        <w:rPr>
          <w:rFonts w:ascii="Arial" w:eastAsia="Arial" w:hAnsi="Arial"/>
          <w:b/>
          <w:color w:val="000000"/>
          <w:spacing w:val="-1"/>
          <w:sz w:val="28"/>
          <w:szCs w:val="28"/>
        </w:rPr>
        <w:t xml:space="preserve">– </w:t>
      </w:r>
      <w:r w:rsidR="0093441A" w:rsidRPr="00E3516E">
        <w:rPr>
          <w:rFonts w:ascii="Arial" w:eastAsia="Arial" w:hAnsi="Arial"/>
          <w:b/>
          <w:color w:val="000000"/>
          <w:spacing w:val="-1"/>
          <w:sz w:val="28"/>
          <w:szCs w:val="28"/>
        </w:rPr>
        <w:t>7</w:t>
      </w:r>
      <w:r w:rsidR="001D23AE" w:rsidRPr="00E3516E">
        <w:rPr>
          <w:rFonts w:ascii="Arial" w:eastAsia="Arial" w:hAnsi="Arial"/>
          <w:b/>
          <w:color w:val="000000"/>
          <w:spacing w:val="-1"/>
          <w:sz w:val="28"/>
          <w:szCs w:val="28"/>
        </w:rPr>
        <w:t>/</w:t>
      </w:r>
      <w:r w:rsidR="0093441A" w:rsidRPr="00E3516E">
        <w:rPr>
          <w:rFonts w:ascii="Arial" w:eastAsia="Arial" w:hAnsi="Arial"/>
          <w:b/>
          <w:color w:val="000000"/>
          <w:spacing w:val="-1"/>
          <w:sz w:val="28"/>
          <w:szCs w:val="28"/>
        </w:rPr>
        <w:t>1</w:t>
      </w:r>
      <w:r w:rsidR="00487B82">
        <w:rPr>
          <w:rFonts w:ascii="Arial" w:eastAsia="Arial" w:hAnsi="Arial"/>
          <w:b/>
          <w:color w:val="000000"/>
          <w:spacing w:val="-1"/>
          <w:sz w:val="28"/>
          <w:szCs w:val="28"/>
        </w:rPr>
        <w:t>7</w:t>
      </w:r>
      <w:r w:rsidR="001D23AE" w:rsidRPr="00E3516E">
        <w:rPr>
          <w:rFonts w:ascii="Arial" w:eastAsia="Arial" w:hAnsi="Arial"/>
          <w:b/>
          <w:color w:val="000000"/>
          <w:spacing w:val="-1"/>
          <w:sz w:val="28"/>
          <w:szCs w:val="28"/>
        </w:rPr>
        <w:t>/18</w:t>
      </w:r>
    </w:p>
    <w:p w:rsidR="00E45B82" w:rsidRDefault="00E45B82" w:rsidP="00E45B82">
      <w:pPr>
        <w:jc w:val="both"/>
        <w:textAlignment w:val="baseline"/>
        <w:rPr>
          <w:rFonts w:eastAsia="Arial"/>
        </w:rPr>
      </w:pPr>
    </w:p>
    <w:p w:rsidR="00A5788A" w:rsidRPr="00D73F43" w:rsidRDefault="007E04F8" w:rsidP="00E45B82">
      <w:pPr>
        <w:jc w:val="both"/>
        <w:textAlignment w:val="baseline"/>
        <w:rPr>
          <w:rFonts w:eastAsia="Arial"/>
        </w:rPr>
      </w:pPr>
      <w:r w:rsidRPr="00D73F43">
        <w:rPr>
          <w:rFonts w:eastAsia="Arial"/>
        </w:rPr>
        <w:t xml:space="preserve">The Trinity County Office of Emergency Services is currently teaming up with the Trinity County </w:t>
      </w:r>
      <w:r w:rsidR="00CB6222" w:rsidRPr="00D73F43">
        <w:rPr>
          <w:rFonts w:eastAsia="Arial"/>
        </w:rPr>
        <w:t>Department of Transportation/</w:t>
      </w:r>
      <w:r w:rsidRPr="00D73F43">
        <w:rPr>
          <w:rFonts w:eastAsia="Arial"/>
        </w:rPr>
        <w:t xml:space="preserve">Planning Department and a contracted grant writer to apply for a Hazard Mitigation Grant for victims of the 2017 Helena fire which burned homes determined to be in the floodplain and </w:t>
      </w:r>
      <w:r w:rsidR="00CB6222" w:rsidRPr="00D73F43">
        <w:rPr>
          <w:rFonts w:eastAsia="Arial"/>
        </w:rPr>
        <w:t xml:space="preserve">therefore </w:t>
      </w:r>
      <w:r w:rsidRPr="00D73F43">
        <w:rPr>
          <w:rFonts w:eastAsia="Arial"/>
        </w:rPr>
        <w:t xml:space="preserve">not eligible to be permitted for reconstruction. The process will consist of two </w:t>
      </w:r>
      <w:r w:rsidR="00423FB2">
        <w:rPr>
          <w:rFonts w:eastAsia="Arial"/>
        </w:rPr>
        <w:t>phases</w:t>
      </w:r>
      <w:r w:rsidR="00E3516E">
        <w:rPr>
          <w:rFonts w:eastAsia="Arial"/>
        </w:rPr>
        <w:t xml:space="preserve">. </w:t>
      </w:r>
      <w:r w:rsidR="00423FB2">
        <w:rPr>
          <w:rFonts w:eastAsia="Arial"/>
        </w:rPr>
        <w:t xml:space="preserve">Phase 1: Property Acquisition. In phase 1, property owners, deemed eligible, will be contacted and questioned about their desire to partake in the acquisition process whereby </w:t>
      </w:r>
      <w:r w:rsidR="00D52EC2">
        <w:rPr>
          <w:rFonts w:eastAsia="Arial"/>
        </w:rPr>
        <w:t xml:space="preserve">their land would be purchased outright. Phase 2: Elevation of Structures. In phase 2, </w:t>
      </w:r>
      <w:r w:rsidR="00330207">
        <w:rPr>
          <w:rFonts w:eastAsia="Arial"/>
        </w:rPr>
        <w:t>property owners deemed eligible will be contacted to determine if they would like to participate in the process to raise the elevation of the house to an acceptable level to be within code; therefore, allowing reconstruction to occur.</w:t>
      </w:r>
      <w:r w:rsidRPr="00D73F43">
        <w:rPr>
          <w:rFonts w:eastAsia="Arial"/>
        </w:rPr>
        <w:t xml:space="preserve"> </w:t>
      </w:r>
      <w:r w:rsidR="00330207">
        <w:rPr>
          <w:rFonts w:eastAsia="Arial"/>
        </w:rPr>
        <w:t>G</w:t>
      </w:r>
      <w:r w:rsidR="000162C6" w:rsidRPr="00D73F43">
        <w:rPr>
          <w:rFonts w:eastAsia="Arial"/>
        </w:rPr>
        <w:t xml:space="preserve">rant funds would pay 75% of the cost to raise the house foundation </w:t>
      </w:r>
      <w:r w:rsidR="00D73F43">
        <w:rPr>
          <w:rFonts w:eastAsia="Arial"/>
        </w:rPr>
        <w:t>level to be within code</w:t>
      </w:r>
      <w:r w:rsidR="00330207">
        <w:rPr>
          <w:rFonts w:eastAsia="Arial"/>
        </w:rPr>
        <w:t>, and</w:t>
      </w:r>
      <w:r w:rsidR="00E3516E">
        <w:rPr>
          <w:rFonts w:eastAsia="Arial"/>
        </w:rPr>
        <w:t xml:space="preserve"> </w:t>
      </w:r>
      <w:r w:rsidR="00330207">
        <w:rPr>
          <w:rFonts w:eastAsia="Arial"/>
        </w:rPr>
        <w:t>t</w:t>
      </w:r>
      <w:r w:rsidR="000162C6" w:rsidRPr="00D73F43">
        <w:rPr>
          <w:rFonts w:eastAsia="Arial"/>
        </w:rPr>
        <w:t>h</w:t>
      </w:r>
      <w:r w:rsidR="00CB6222" w:rsidRPr="00D73F43">
        <w:rPr>
          <w:rFonts w:eastAsia="Arial"/>
        </w:rPr>
        <w:t>e</w:t>
      </w:r>
      <w:r w:rsidR="000162C6" w:rsidRPr="00D73F43">
        <w:rPr>
          <w:rFonts w:eastAsia="Arial"/>
        </w:rPr>
        <w:t xml:space="preserve"> owner </w:t>
      </w:r>
      <w:r w:rsidR="00CB6222" w:rsidRPr="00D73F43">
        <w:rPr>
          <w:rFonts w:eastAsia="Arial"/>
        </w:rPr>
        <w:t>is responsible for</w:t>
      </w:r>
      <w:r w:rsidR="000162C6" w:rsidRPr="00D73F43">
        <w:rPr>
          <w:rFonts w:eastAsia="Arial"/>
        </w:rPr>
        <w:t xml:space="preserve"> the remaining 25% of the cost</w:t>
      </w:r>
      <w:r w:rsidR="00CB6222" w:rsidRPr="00D73F43">
        <w:rPr>
          <w:rFonts w:eastAsia="Arial"/>
        </w:rPr>
        <w:t>s</w:t>
      </w:r>
      <w:r w:rsidR="000162C6" w:rsidRPr="00D73F43">
        <w:rPr>
          <w:rFonts w:eastAsia="Arial"/>
        </w:rPr>
        <w:t xml:space="preserve">. The grant does not pay for the house to be rebuilt, that portion is still 100% the responsibility of the owner. Additionally, </w:t>
      </w:r>
      <w:r w:rsidR="00330207">
        <w:rPr>
          <w:rFonts w:eastAsia="Arial"/>
        </w:rPr>
        <w:t>Phase 2</w:t>
      </w:r>
      <w:r w:rsidR="000162C6" w:rsidRPr="00D73F43">
        <w:rPr>
          <w:rFonts w:eastAsia="Arial"/>
        </w:rPr>
        <w:t xml:space="preserve"> will </w:t>
      </w:r>
      <w:r w:rsidR="00D73F43">
        <w:rPr>
          <w:rFonts w:eastAsia="Arial"/>
        </w:rPr>
        <w:t xml:space="preserve">include site specific </w:t>
      </w:r>
      <w:r w:rsidR="000162C6" w:rsidRPr="00D73F43">
        <w:rPr>
          <w:rFonts w:eastAsia="Arial"/>
        </w:rPr>
        <w:t>plans and a cost-benefit analysis</w:t>
      </w:r>
      <w:r w:rsidR="00330207">
        <w:rPr>
          <w:rFonts w:eastAsia="Arial"/>
        </w:rPr>
        <w:t>.</w:t>
      </w:r>
      <w:r w:rsidR="000162C6" w:rsidRPr="00D73F43">
        <w:rPr>
          <w:rFonts w:eastAsia="Arial"/>
        </w:rPr>
        <w:t xml:space="preserve"> If conditions are met and approved, the </w:t>
      </w:r>
      <w:r w:rsidR="00CF5015">
        <w:rPr>
          <w:rFonts w:eastAsia="Arial"/>
        </w:rPr>
        <w:t>construction portion of</w:t>
      </w:r>
      <w:r w:rsidR="000162C6" w:rsidRPr="00D73F43">
        <w:rPr>
          <w:rFonts w:eastAsia="Arial"/>
        </w:rPr>
        <w:t xml:space="preserve"> </w:t>
      </w:r>
      <w:r w:rsidR="00CF5015">
        <w:rPr>
          <w:rFonts w:eastAsia="Arial"/>
        </w:rPr>
        <w:t>P</w:t>
      </w:r>
      <w:r w:rsidR="00330207">
        <w:rPr>
          <w:rFonts w:eastAsia="Arial"/>
        </w:rPr>
        <w:t>hase</w:t>
      </w:r>
      <w:r w:rsidR="00CF5015">
        <w:rPr>
          <w:rFonts w:eastAsia="Arial"/>
        </w:rPr>
        <w:t xml:space="preserve"> 2 can start</w:t>
      </w:r>
      <w:r w:rsidR="00A5788A" w:rsidRPr="00D73F43">
        <w:rPr>
          <w:rFonts w:eastAsia="Arial"/>
        </w:rPr>
        <w:t xml:space="preserve">. </w:t>
      </w:r>
    </w:p>
    <w:p w:rsidR="00E45B82" w:rsidRDefault="00E45B82" w:rsidP="00E45B82">
      <w:pPr>
        <w:jc w:val="both"/>
        <w:textAlignment w:val="baseline"/>
        <w:rPr>
          <w:rFonts w:eastAsia="Arial"/>
        </w:rPr>
      </w:pPr>
    </w:p>
    <w:p w:rsidR="001D23AE" w:rsidRPr="00D73F43" w:rsidRDefault="00A5788A" w:rsidP="00E45B82">
      <w:pPr>
        <w:jc w:val="both"/>
        <w:textAlignment w:val="baseline"/>
        <w:rPr>
          <w:rFonts w:eastAsia="Arial"/>
        </w:rPr>
      </w:pPr>
      <w:r w:rsidRPr="00D73F43">
        <w:rPr>
          <w:rFonts w:eastAsia="Arial"/>
        </w:rPr>
        <w:t xml:space="preserve">If any ground is broken while the </w:t>
      </w:r>
      <w:r w:rsidR="00CB6222" w:rsidRPr="00D73F43">
        <w:rPr>
          <w:rFonts w:eastAsia="Arial"/>
        </w:rPr>
        <w:t>project plan</w:t>
      </w:r>
      <w:r w:rsidRPr="00D73F43">
        <w:rPr>
          <w:rFonts w:eastAsia="Arial"/>
        </w:rPr>
        <w:t xml:space="preserve"> is being written, submitted or reviewed, the property will be considered ineligible</w:t>
      </w:r>
      <w:r w:rsidR="00CB6222" w:rsidRPr="00D73F43">
        <w:rPr>
          <w:rFonts w:eastAsia="Arial"/>
        </w:rPr>
        <w:t xml:space="preserve"> to receive grant funds</w:t>
      </w:r>
      <w:r w:rsidRPr="00D73F43">
        <w:rPr>
          <w:rFonts w:eastAsia="Arial"/>
        </w:rPr>
        <w:t xml:space="preserve">. FEMA inspectors </w:t>
      </w:r>
      <w:r w:rsidR="00D73F43">
        <w:rPr>
          <w:rFonts w:eastAsia="Arial"/>
        </w:rPr>
        <w:t xml:space="preserve">will monitor conditions </w:t>
      </w:r>
      <w:r w:rsidRPr="00D73F43">
        <w:rPr>
          <w:rFonts w:eastAsia="Arial"/>
        </w:rPr>
        <w:t>at the beginning</w:t>
      </w:r>
      <w:r w:rsidR="00330207">
        <w:rPr>
          <w:rFonts w:eastAsia="Arial"/>
        </w:rPr>
        <w:t>, middle and end</w:t>
      </w:r>
      <w:r w:rsidRPr="00D73F43">
        <w:rPr>
          <w:rFonts w:eastAsia="Arial"/>
        </w:rPr>
        <w:t xml:space="preserve"> of </w:t>
      </w:r>
      <w:r w:rsidR="00CF5015">
        <w:rPr>
          <w:rFonts w:eastAsia="Arial"/>
        </w:rPr>
        <w:t>the construction portion of P</w:t>
      </w:r>
      <w:r w:rsidR="00E3516E">
        <w:rPr>
          <w:rFonts w:eastAsia="Arial"/>
        </w:rPr>
        <w:t>hase</w:t>
      </w:r>
      <w:r w:rsidRPr="00D73F43">
        <w:rPr>
          <w:rFonts w:eastAsia="Arial"/>
        </w:rPr>
        <w:t xml:space="preserve"> </w:t>
      </w:r>
      <w:r w:rsidR="00E3516E">
        <w:rPr>
          <w:rFonts w:eastAsia="Arial"/>
        </w:rPr>
        <w:t>2</w:t>
      </w:r>
      <w:r w:rsidRPr="00D73F43">
        <w:rPr>
          <w:rFonts w:eastAsia="Arial"/>
        </w:rPr>
        <w:t xml:space="preserve"> to ensure work is proceeding on schedule</w:t>
      </w:r>
      <w:r w:rsidR="00330207">
        <w:rPr>
          <w:rFonts w:eastAsia="Arial"/>
        </w:rPr>
        <w:t>.</w:t>
      </w:r>
      <w:r w:rsidR="00E3516E">
        <w:rPr>
          <w:rFonts w:eastAsia="Arial"/>
        </w:rPr>
        <w:t xml:space="preserve"> </w:t>
      </w:r>
      <w:r w:rsidR="00330207">
        <w:rPr>
          <w:rFonts w:eastAsia="Arial"/>
        </w:rPr>
        <w:t>A</w:t>
      </w:r>
      <w:r w:rsidRPr="00D73F43">
        <w:rPr>
          <w:rFonts w:eastAsia="Arial"/>
        </w:rPr>
        <w:t xml:space="preserve">t the end </w:t>
      </w:r>
      <w:r w:rsidR="00330207">
        <w:rPr>
          <w:rFonts w:eastAsia="Arial"/>
        </w:rPr>
        <w:t xml:space="preserve">of </w:t>
      </w:r>
      <w:r w:rsidR="00CF5015">
        <w:rPr>
          <w:rFonts w:eastAsia="Arial"/>
        </w:rPr>
        <w:t>P</w:t>
      </w:r>
      <w:r w:rsidR="00330207" w:rsidRPr="00E3516E">
        <w:rPr>
          <w:rFonts w:eastAsia="Arial"/>
        </w:rPr>
        <w:t>hase 2</w:t>
      </w:r>
      <w:r w:rsidR="004C28C1">
        <w:rPr>
          <w:rFonts w:eastAsia="Arial"/>
        </w:rPr>
        <w:t>,</w:t>
      </w:r>
      <w:r w:rsidR="00330207">
        <w:rPr>
          <w:rFonts w:eastAsia="Arial"/>
        </w:rPr>
        <w:t xml:space="preserve"> project</w:t>
      </w:r>
      <w:r w:rsidRPr="00D73F43">
        <w:rPr>
          <w:rFonts w:eastAsia="Arial"/>
        </w:rPr>
        <w:t xml:space="preserve"> completion</w:t>
      </w:r>
      <w:r w:rsidR="00330207">
        <w:rPr>
          <w:rFonts w:eastAsia="Arial"/>
        </w:rPr>
        <w:t>,</w:t>
      </w:r>
      <w:r w:rsidRPr="00D73F43">
        <w:rPr>
          <w:rFonts w:eastAsia="Arial"/>
        </w:rPr>
        <w:t xml:space="preserve"> verification and inspection </w:t>
      </w:r>
      <w:r w:rsidR="00330207">
        <w:rPr>
          <w:rFonts w:eastAsia="Arial"/>
        </w:rPr>
        <w:t xml:space="preserve">will occur </w:t>
      </w:r>
      <w:r w:rsidRPr="00D73F43">
        <w:rPr>
          <w:rFonts w:eastAsia="Arial"/>
        </w:rPr>
        <w:t xml:space="preserve">to ensure everything was completed according to the </w:t>
      </w:r>
      <w:r w:rsidR="00330207">
        <w:rPr>
          <w:rFonts w:eastAsia="Arial"/>
        </w:rPr>
        <w:t xml:space="preserve">approved </w:t>
      </w:r>
      <w:r w:rsidRPr="00D73F43">
        <w:rPr>
          <w:rFonts w:eastAsia="Arial"/>
        </w:rPr>
        <w:t>project plan</w:t>
      </w:r>
      <w:r w:rsidR="00330207">
        <w:rPr>
          <w:rFonts w:eastAsia="Arial"/>
        </w:rPr>
        <w:t>.</w:t>
      </w:r>
      <w:r w:rsidR="000162C6" w:rsidRPr="00D73F43">
        <w:rPr>
          <w:rFonts w:eastAsia="Arial"/>
        </w:rPr>
        <w:t xml:space="preserve"> </w:t>
      </w:r>
    </w:p>
    <w:p w:rsidR="00634601" w:rsidRDefault="00634601" w:rsidP="00E45B82">
      <w:pPr>
        <w:jc w:val="both"/>
        <w:textAlignment w:val="baseline"/>
        <w:rPr>
          <w:rFonts w:eastAsia="Arial"/>
        </w:rPr>
      </w:pPr>
    </w:p>
    <w:p w:rsidR="00CB6222" w:rsidRPr="00D73F43" w:rsidRDefault="00CB6222" w:rsidP="00E45B82">
      <w:pPr>
        <w:jc w:val="both"/>
        <w:textAlignment w:val="baseline"/>
        <w:rPr>
          <w:rFonts w:eastAsia="Arial"/>
        </w:rPr>
      </w:pPr>
      <w:r w:rsidRPr="00D73F43">
        <w:rPr>
          <w:rFonts w:eastAsia="Arial"/>
        </w:rPr>
        <w:t xml:space="preserve">This is a lengthy process and we appreciate your patience as we move forward with the application package. Our intention is to submit </w:t>
      </w:r>
      <w:r w:rsidR="00D73F43">
        <w:rPr>
          <w:rFonts w:eastAsia="Arial"/>
        </w:rPr>
        <w:t>the</w:t>
      </w:r>
      <w:r w:rsidRPr="00D73F43">
        <w:rPr>
          <w:rFonts w:eastAsia="Arial"/>
        </w:rPr>
        <w:t xml:space="preserve"> </w:t>
      </w:r>
      <w:r w:rsidR="00D73F43" w:rsidRPr="00D73F43">
        <w:rPr>
          <w:rFonts w:eastAsia="Arial"/>
        </w:rPr>
        <w:t>application package</w:t>
      </w:r>
      <w:r w:rsidRPr="00D73F43">
        <w:rPr>
          <w:rFonts w:eastAsia="Arial"/>
        </w:rPr>
        <w:t xml:space="preserve"> to FEMA for approval </w:t>
      </w:r>
      <w:r w:rsidR="00D73F43">
        <w:rPr>
          <w:rFonts w:eastAsia="Arial"/>
        </w:rPr>
        <w:t>prior to</w:t>
      </w:r>
      <w:r w:rsidRPr="00D73F43">
        <w:rPr>
          <w:rFonts w:eastAsia="Arial"/>
        </w:rPr>
        <w:t xml:space="preserve"> the September 4,</w:t>
      </w:r>
      <w:r w:rsidRPr="00D73F43">
        <w:rPr>
          <w:rFonts w:eastAsia="Arial"/>
          <w:vertAlign w:val="superscript"/>
        </w:rPr>
        <w:t xml:space="preserve"> </w:t>
      </w:r>
      <w:r w:rsidRPr="00D73F43">
        <w:rPr>
          <w:rFonts w:eastAsia="Arial"/>
        </w:rPr>
        <w:t>2018 deadline</w:t>
      </w:r>
      <w:r w:rsidR="00330207">
        <w:rPr>
          <w:rFonts w:eastAsia="Arial"/>
        </w:rPr>
        <w:t>,</w:t>
      </w:r>
      <w:r w:rsidRPr="00D73F43">
        <w:rPr>
          <w:rFonts w:eastAsia="Arial"/>
        </w:rPr>
        <w:t xml:space="preserve"> and we appreciate residents and affected property owners understanding </w:t>
      </w:r>
      <w:r w:rsidR="00330207">
        <w:rPr>
          <w:rFonts w:eastAsia="Arial"/>
        </w:rPr>
        <w:t xml:space="preserve">of </w:t>
      </w:r>
      <w:r w:rsidRPr="00D73F43">
        <w:rPr>
          <w:rFonts w:eastAsia="Arial"/>
        </w:rPr>
        <w:t>the complex</w:t>
      </w:r>
      <w:r w:rsidR="00330207">
        <w:rPr>
          <w:rFonts w:eastAsia="Arial"/>
        </w:rPr>
        <w:t xml:space="preserve"> nature</w:t>
      </w:r>
      <w:r w:rsidRPr="00D73F43">
        <w:rPr>
          <w:rFonts w:eastAsia="Arial"/>
        </w:rPr>
        <w:t xml:space="preserve"> of producing individual, highly detailed plans for each parcel</w:t>
      </w:r>
      <w:r w:rsidR="00D73F43" w:rsidRPr="00D73F43">
        <w:rPr>
          <w:rFonts w:eastAsia="Arial"/>
        </w:rPr>
        <w:t xml:space="preserve"> for consideration by grant administrators.</w:t>
      </w:r>
      <w:r w:rsidR="00634601">
        <w:rPr>
          <w:rFonts w:eastAsia="Arial"/>
        </w:rPr>
        <w:t xml:space="preserve"> There is no guarantee the project will be funded, </w:t>
      </w:r>
      <w:r w:rsidR="00B82F6E">
        <w:rPr>
          <w:rFonts w:eastAsia="Arial"/>
        </w:rPr>
        <w:t>but we are currently working diligently to finish the application package.</w:t>
      </w:r>
    </w:p>
    <w:p w:rsidR="0048295A" w:rsidRDefault="0048295A" w:rsidP="00E45B82">
      <w:pPr>
        <w:jc w:val="both"/>
        <w:textAlignment w:val="baseline"/>
        <w:rPr>
          <w:rFonts w:eastAsia="Arial"/>
        </w:rPr>
      </w:pPr>
      <w:bookmarkStart w:id="0" w:name="_GoBack"/>
      <w:bookmarkEnd w:id="0"/>
    </w:p>
    <w:p w:rsidR="00E45B82" w:rsidRPr="00D73F43" w:rsidRDefault="00E45B82" w:rsidP="00E45B82">
      <w:pPr>
        <w:jc w:val="both"/>
        <w:textAlignment w:val="baseline"/>
        <w:rPr>
          <w:rFonts w:eastAsia="Arial"/>
        </w:rPr>
      </w:pPr>
      <w:r>
        <w:rPr>
          <w:rFonts w:eastAsia="Arial"/>
        </w:rPr>
        <w:t xml:space="preserve">If you would like to be </w:t>
      </w:r>
      <w:r w:rsidR="00330207">
        <w:rPr>
          <w:rFonts w:eastAsia="Arial"/>
        </w:rPr>
        <w:t>considered for a portion of the grant funds, if awarded,</w:t>
      </w:r>
      <w:r>
        <w:rPr>
          <w:rFonts w:eastAsia="Arial"/>
        </w:rPr>
        <w:t xml:space="preserve"> please contact </w:t>
      </w:r>
      <w:r w:rsidR="004C28C1">
        <w:rPr>
          <w:rFonts w:eastAsia="Arial"/>
        </w:rPr>
        <w:t>me at the number or email listed below no later than</w:t>
      </w:r>
      <w:r>
        <w:rPr>
          <w:rFonts w:eastAsia="Arial"/>
        </w:rPr>
        <w:t xml:space="preserve"> July 31, 2018. Participants must be available to sign an agreement stipulating they would like to take part in the </w:t>
      </w:r>
      <w:r w:rsidR="004C28C1">
        <w:rPr>
          <w:rFonts w:eastAsia="Arial"/>
        </w:rPr>
        <w:t>program and may be asked to commit funds to complete an Elevation of Structure project</w:t>
      </w:r>
      <w:r>
        <w:rPr>
          <w:rFonts w:eastAsia="Arial"/>
        </w:rPr>
        <w:t>.</w:t>
      </w:r>
    </w:p>
    <w:p w:rsidR="00634601" w:rsidRDefault="00634601" w:rsidP="00E45B82">
      <w:pPr>
        <w:jc w:val="both"/>
        <w:textAlignment w:val="baseline"/>
        <w:rPr>
          <w:rFonts w:eastAsia="Arial"/>
        </w:rPr>
      </w:pPr>
    </w:p>
    <w:p w:rsidR="0048295A" w:rsidRPr="00D73F43" w:rsidRDefault="0048295A" w:rsidP="00E45B82">
      <w:pPr>
        <w:jc w:val="both"/>
        <w:textAlignment w:val="baseline"/>
        <w:rPr>
          <w:rFonts w:eastAsia="Arial"/>
        </w:rPr>
      </w:pPr>
      <w:r w:rsidRPr="00D73F43">
        <w:rPr>
          <w:rFonts w:eastAsia="Arial"/>
        </w:rPr>
        <w:t>Ed Prestley</w:t>
      </w:r>
    </w:p>
    <w:p w:rsidR="0048295A" w:rsidRPr="00D73F43" w:rsidRDefault="0048295A" w:rsidP="00E45B82">
      <w:pPr>
        <w:jc w:val="both"/>
        <w:textAlignment w:val="baseline"/>
        <w:rPr>
          <w:rFonts w:eastAsia="Arial"/>
        </w:rPr>
      </w:pPr>
      <w:r w:rsidRPr="00D73F43">
        <w:rPr>
          <w:rFonts w:eastAsia="Arial"/>
        </w:rPr>
        <w:t>OES Manager</w:t>
      </w:r>
    </w:p>
    <w:p w:rsidR="00D73F43" w:rsidRDefault="0048295A" w:rsidP="00E45B82">
      <w:pPr>
        <w:jc w:val="both"/>
        <w:textAlignment w:val="baseline"/>
        <w:rPr>
          <w:rFonts w:eastAsia="Arial"/>
        </w:rPr>
      </w:pPr>
      <w:r w:rsidRPr="00D73F43">
        <w:rPr>
          <w:rFonts w:eastAsia="Arial"/>
        </w:rPr>
        <w:t>Trinity County</w:t>
      </w:r>
    </w:p>
    <w:p w:rsidR="0048295A" w:rsidRPr="00D73F43" w:rsidRDefault="00CF5015" w:rsidP="00E45B82">
      <w:pPr>
        <w:jc w:val="both"/>
        <w:textAlignment w:val="baseline"/>
        <w:rPr>
          <w:rFonts w:eastAsia="Arial"/>
        </w:rPr>
      </w:pPr>
      <w:hyperlink r:id="rId5" w:history="1">
        <w:r w:rsidR="004C28C1" w:rsidRPr="000A340F">
          <w:rPr>
            <w:rStyle w:val="Hyperlink"/>
            <w:rFonts w:eastAsia="Arial"/>
          </w:rPr>
          <w:t>eprestley@trinitycounty.org</w:t>
        </w:r>
      </w:hyperlink>
      <w:r w:rsidR="0048295A" w:rsidRPr="00D73F43">
        <w:rPr>
          <w:rFonts w:eastAsia="Arial"/>
        </w:rPr>
        <w:t>(530) 623-1116</w:t>
      </w:r>
    </w:p>
    <w:sectPr w:rsidR="0048295A" w:rsidRPr="00D73F43" w:rsidSect="00E3516E">
      <w:pgSz w:w="12240" w:h="15840"/>
      <w:pgMar w:top="864" w:right="1440" w:bottom="86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MS Gothic">
    <w:charset w:val="00"/>
    <w:pitch w:val="fixed"/>
    <w:family w:val="auto"/>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33"/>
    <w:rsid w:val="000162C6"/>
    <w:rsid w:val="001D23AE"/>
    <w:rsid w:val="00212C30"/>
    <w:rsid w:val="00330207"/>
    <w:rsid w:val="00423FB2"/>
    <w:rsid w:val="0048295A"/>
    <w:rsid w:val="00487B82"/>
    <w:rsid w:val="004C28C1"/>
    <w:rsid w:val="00534B45"/>
    <w:rsid w:val="00634601"/>
    <w:rsid w:val="00663A33"/>
    <w:rsid w:val="006C104F"/>
    <w:rsid w:val="006C4B1D"/>
    <w:rsid w:val="00706B50"/>
    <w:rsid w:val="007E04F8"/>
    <w:rsid w:val="00821902"/>
    <w:rsid w:val="0093441A"/>
    <w:rsid w:val="00A01702"/>
    <w:rsid w:val="00A5788A"/>
    <w:rsid w:val="00B82F6E"/>
    <w:rsid w:val="00BA64BF"/>
    <w:rsid w:val="00CB6222"/>
    <w:rsid w:val="00CF5015"/>
    <w:rsid w:val="00D52EC2"/>
    <w:rsid w:val="00D73F43"/>
    <w:rsid w:val="00DF44F1"/>
    <w:rsid w:val="00E1649C"/>
    <w:rsid w:val="00E33F44"/>
    <w:rsid w:val="00E3516E"/>
    <w:rsid w:val="00E45B82"/>
    <w:rsid w:val="00E65C80"/>
    <w:rsid w:val="00E803D1"/>
    <w:rsid w:val="00F3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B2C6"/>
  <w15:docId w15:val="{0DB0A3A1-9EE8-481B-9642-7E643579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5A"/>
    <w:rPr>
      <w:color w:val="0563C1" w:themeColor="hyperlink"/>
      <w:u w:val="single"/>
    </w:rPr>
  </w:style>
  <w:style w:type="character" w:customStyle="1" w:styleId="UnresolvedMention">
    <w:name w:val="Unresolved Mention"/>
    <w:basedOn w:val="DefaultParagraphFont"/>
    <w:uiPriority w:val="99"/>
    <w:semiHidden/>
    <w:unhideWhenUsed/>
    <w:rsid w:val="004C28C1"/>
    <w:rPr>
      <w:color w:val="605E5C"/>
      <w:shd w:val="clear" w:color="auto" w:fill="E1DFDD"/>
    </w:rPr>
  </w:style>
  <w:style w:type="paragraph" w:styleId="BalloonText">
    <w:name w:val="Balloon Text"/>
    <w:basedOn w:val="Normal"/>
    <w:link w:val="BalloonTextChar"/>
    <w:uiPriority w:val="99"/>
    <w:semiHidden/>
    <w:unhideWhenUsed/>
    <w:rsid w:val="004C2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restley@trinitycount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Braxton</dc:creator>
  <cp:lastModifiedBy>Edward Prestley</cp:lastModifiedBy>
  <cp:revision>5</cp:revision>
  <dcterms:created xsi:type="dcterms:W3CDTF">2018-07-17T03:09:00Z</dcterms:created>
  <dcterms:modified xsi:type="dcterms:W3CDTF">2018-07-17T16:56:00Z</dcterms:modified>
</cp:coreProperties>
</file>