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131"/>
        <w:gridCol w:w="9429"/>
      </w:tblGrid>
      <w:tr w:rsidR="00663A33">
        <w:trPr>
          <w:trHeight w:hRule="exact" w:val="1785"/>
        </w:trPr>
        <w:tc>
          <w:tcPr>
            <w:tcW w:w="2131" w:type="dxa"/>
            <w:tcBorders>
              <w:top w:val="none" w:sz="0" w:space="0" w:color="000000"/>
              <w:left w:val="none" w:sz="0" w:space="0" w:color="000000"/>
              <w:bottom w:val="none" w:sz="0" w:space="0" w:color="000000"/>
              <w:right w:val="none" w:sz="0" w:space="0" w:color="000000"/>
            </w:tcBorders>
          </w:tcPr>
          <w:p w:rsidR="00663A33" w:rsidRDefault="0048295A">
            <w:pPr>
              <w:spacing w:before="6" w:after="18"/>
              <w:ind w:left="369"/>
              <w:jc w:val="right"/>
              <w:textAlignment w:val="baseline"/>
            </w:pPr>
            <w:r>
              <w:rPr>
                <w:noProof/>
              </w:rPr>
              <w:drawing>
                <wp:inline distT="0" distB="0" distL="0" distR="0">
                  <wp:extent cx="1118870" cy="111823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4"/>
                          <a:stretch>
                            <a:fillRect/>
                          </a:stretch>
                        </pic:blipFill>
                        <pic:spPr>
                          <a:xfrm>
                            <a:off x="0" y="0"/>
                            <a:ext cx="1118870" cy="1118235"/>
                          </a:xfrm>
                          <a:prstGeom prst="rect">
                            <a:avLst/>
                          </a:prstGeom>
                        </pic:spPr>
                      </pic:pic>
                    </a:graphicData>
                  </a:graphic>
                </wp:inline>
              </w:drawing>
            </w:r>
          </w:p>
        </w:tc>
        <w:tc>
          <w:tcPr>
            <w:tcW w:w="9429" w:type="dxa"/>
            <w:tcBorders>
              <w:top w:val="none" w:sz="0" w:space="0" w:color="000000"/>
              <w:left w:val="none" w:sz="0" w:space="0" w:color="000000"/>
              <w:bottom w:val="none" w:sz="0" w:space="0" w:color="000000"/>
              <w:right w:val="none" w:sz="0" w:space="0" w:color="000000"/>
            </w:tcBorders>
          </w:tcPr>
          <w:p w:rsidR="00663A33" w:rsidRDefault="0048295A">
            <w:pPr>
              <w:spacing w:before="164" w:line="367" w:lineRule="exact"/>
              <w:ind w:right="2416"/>
              <w:jc w:val="right"/>
              <w:textAlignment w:val="baseline"/>
              <w:rPr>
                <w:rFonts w:ascii="Arial" w:eastAsia="Arial" w:hAnsi="Arial"/>
                <w:b/>
                <w:color w:val="000000"/>
                <w:sz w:val="32"/>
              </w:rPr>
            </w:pPr>
            <w:r>
              <w:rPr>
                <w:rFonts w:ascii="Arial" w:eastAsia="Arial" w:hAnsi="Arial"/>
                <w:b/>
                <w:color w:val="000000"/>
                <w:sz w:val="32"/>
              </w:rPr>
              <w:t>Trinity County Office of Emergency Services</w:t>
            </w:r>
          </w:p>
          <w:p w:rsidR="00663A33" w:rsidRDefault="0048295A">
            <w:pPr>
              <w:spacing w:line="244" w:lineRule="exact"/>
              <w:ind w:right="4756"/>
              <w:jc w:val="right"/>
              <w:textAlignment w:val="baseline"/>
              <w:rPr>
                <w:rFonts w:ascii="Arial" w:eastAsia="Arial" w:hAnsi="Arial"/>
                <w:color w:val="000000"/>
              </w:rPr>
            </w:pPr>
            <w:r>
              <w:rPr>
                <w:rFonts w:ascii="Arial" w:eastAsia="Arial" w:hAnsi="Arial"/>
                <w:color w:val="000000"/>
              </w:rPr>
              <w:t>Letty Garza, Director</w:t>
            </w:r>
          </w:p>
          <w:p w:rsidR="00663A33" w:rsidRDefault="0048295A">
            <w:pPr>
              <w:spacing w:before="8" w:line="246" w:lineRule="exact"/>
              <w:ind w:right="3564"/>
              <w:jc w:val="right"/>
              <w:textAlignment w:val="baseline"/>
              <w:rPr>
                <w:rFonts w:ascii="Arial" w:eastAsia="Arial" w:hAnsi="Arial"/>
                <w:color w:val="000000"/>
              </w:rPr>
            </w:pPr>
            <w:r>
              <w:rPr>
                <w:rFonts w:ascii="Arial" w:eastAsia="Arial" w:hAnsi="Arial"/>
                <w:color w:val="000000"/>
              </w:rPr>
              <w:t>Edward Prestley, Emergency Operations Manager</w:t>
            </w:r>
          </w:p>
          <w:p w:rsidR="00663A33" w:rsidRDefault="0048295A">
            <w:pPr>
              <w:spacing w:before="5" w:line="206" w:lineRule="exact"/>
              <w:ind w:right="4576"/>
              <w:jc w:val="right"/>
              <w:textAlignment w:val="baseline"/>
              <w:rPr>
                <w:rFonts w:ascii="Arial" w:eastAsia="Arial" w:hAnsi="Arial"/>
                <w:color w:val="000000"/>
                <w:sz w:val="18"/>
              </w:rPr>
            </w:pPr>
            <w:r>
              <w:rPr>
                <w:rFonts w:ascii="Arial" w:eastAsia="Arial" w:hAnsi="Arial"/>
                <w:color w:val="000000"/>
                <w:sz w:val="18"/>
              </w:rPr>
              <w:t>61 AIRPORT ROAD, SUITE B</w:t>
            </w:r>
          </w:p>
          <w:p w:rsidR="00663A33" w:rsidRDefault="0048295A">
            <w:pPr>
              <w:spacing w:line="206" w:lineRule="exact"/>
              <w:ind w:right="3564"/>
              <w:jc w:val="right"/>
              <w:textAlignment w:val="baseline"/>
              <w:rPr>
                <w:rFonts w:ascii="Arial" w:eastAsia="Arial" w:hAnsi="Arial"/>
                <w:color w:val="000000"/>
                <w:sz w:val="18"/>
              </w:rPr>
            </w:pPr>
            <w:r>
              <w:rPr>
                <w:rFonts w:ascii="Arial" w:eastAsia="Arial" w:hAnsi="Arial"/>
                <w:color w:val="000000"/>
                <w:sz w:val="18"/>
              </w:rPr>
              <w:t>P.O. BOX 399, WEAVERVILLE, CALIFORNIA 96093</w:t>
            </w:r>
          </w:p>
          <w:p w:rsidR="00663A33" w:rsidRDefault="0048295A">
            <w:pPr>
              <w:spacing w:before="1" w:after="123" w:line="206" w:lineRule="exact"/>
              <w:ind w:right="3856"/>
              <w:jc w:val="right"/>
              <w:textAlignment w:val="baseline"/>
              <w:rPr>
                <w:rFonts w:ascii="Arial" w:eastAsia="Arial" w:hAnsi="Arial"/>
                <w:color w:val="000000"/>
                <w:sz w:val="18"/>
              </w:rPr>
            </w:pPr>
            <w:r>
              <w:rPr>
                <w:rFonts w:ascii="Arial" w:eastAsia="Arial" w:hAnsi="Arial"/>
                <w:color w:val="000000"/>
                <w:sz w:val="18"/>
              </w:rPr>
              <w:t>PHONE (530) 623-1116 FAX (530) 623-5094</w:t>
            </w:r>
          </w:p>
        </w:tc>
      </w:tr>
    </w:tbl>
    <w:p w:rsidR="00663A33" w:rsidRDefault="00663A33">
      <w:pPr>
        <w:spacing w:after="124" w:line="20" w:lineRule="exact"/>
      </w:pPr>
    </w:p>
    <w:p w:rsidR="00A01702" w:rsidRDefault="00E803D1" w:rsidP="001D23AE">
      <w:pPr>
        <w:spacing w:before="227" w:line="369" w:lineRule="exact"/>
        <w:jc w:val="center"/>
        <w:textAlignment w:val="baseline"/>
        <w:rPr>
          <w:rFonts w:ascii="Arial" w:eastAsia="Arial" w:hAnsi="Arial"/>
          <w:b/>
          <w:color w:val="000000"/>
          <w:spacing w:val="-1"/>
          <w:sz w:val="32"/>
        </w:rPr>
      </w:pPr>
      <w:r>
        <w:rPr>
          <w:noProof/>
        </w:rPr>
        <mc:AlternateContent>
          <mc:Choice Requires="wps">
            <w:drawing>
              <wp:anchor distT="0" distB="0" distL="114300" distR="114300" simplePos="0" relativeHeight="251654656" behindDoc="0" locked="0" layoutInCell="1" allowOverlap="1">
                <wp:simplePos x="0" y="0"/>
                <wp:positionH relativeFrom="page">
                  <wp:posOffset>940435</wp:posOffset>
                </wp:positionH>
                <wp:positionV relativeFrom="page">
                  <wp:posOffset>2171065</wp:posOffset>
                </wp:positionV>
                <wp:extent cx="5917565" cy="57785"/>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7565" cy="57785"/>
                        </a:xfrm>
                        <a:prstGeom prst="line">
                          <a:avLst/>
                        </a:prstGeom>
                        <a:noFill/>
                        <a:ln w="4889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0662D" id="Line 8"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05pt,170.95pt" to="540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" strokeweight="3.85pt">
                <v:stroke linestyle="thinThin"/>
                <w10:wrap anchorx="page" anchory="page"/>
              </v:line>
            </w:pict>
          </mc:Fallback>
        </mc:AlternateContent>
      </w:r>
      <w:r w:rsidR="001D23AE">
        <w:rPr>
          <w:rFonts w:ascii="Arial" w:eastAsia="Arial" w:hAnsi="Arial"/>
          <w:b/>
          <w:color w:val="000000"/>
          <w:spacing w:val="-1"/>
          <w:sz w:val="32"/>
        </w:rPr>
        <w:t xml:space="preserve">Press Release </w:t>
      </w:r>
    </w:p>
    <w:p w:rsidR="00663A33" w:rsidRDefault="00821902" w:rsidP="001D23AE">
      <w:pPr>
        <w:spacing w:before="227" w:line="369" w:lineRule="exact"/>
        <w:jc w:val="center"/>
        <w:textAlignment w:val="baseline"/>
        <w:rPr>
          <w:rFonts w:ascii="Arial" w:eastAsia="Arial" w:hAnsi="Arial"/>
          <w:b/>
          <w:color w:val="000000"/>
          <w:spacing w:val="-1"/>
          <w:sz w:val="32"/>
        </w:rPr>
      </w:pPr>
      <w:r>
        <w:rPr>
          <w:rFonts w:ascii="Arial" w:eastAsia="Arial" w:hAnsi="Arial"/>
          <w:b/>
          <w:color w:val="000000"/>
          <w:spacing w:val="-1"/>
          <w:sz w:val="32"/>
        </w:rPr>
        <w:t xml:space="preserve">OES </w:t>
      </w:r>
      <w:r w:rsidR="001D23AE">
        <w:rPr>
          <w:rFonts w:ascii="Arial" w:eastAsia="Arial" w:hAnsi="Arial"/>
          <w:b/>
          <w:color w:val="000000"/>
          <w:spacing w:val="-1"/>
          <w:sz w:val="32"/>
        </w:rPr>
        <w:t>– 5/24/18</w:t>
      </w:r>
    </w:p>
    <w:p w:rsidR="00DF44F1" w:rsidRDefault="001D23AE" w:rsidP="001D23AE">
      <w:pPr>
        <w:spacing w:before="227" w:line="369" w:lineRule="exact"/>
        <w:jc w:val="both"/>
        <w:textAlignment w:val="baseline"/>
        <w:rPr>
          <w:rFonts w:eastAsia="Arial"/>
          <w:sz w:val="24"/>
        </w:rPr>
      </w:pPr>
      <w:r w:rsidRPr="00DF44F1">
        <w:rPr>
          <w:rFonts w:eastAsia="Arial"/>
          <w:color w:val="000000"/>
          <w:spacing w:val="-1"/>
          <w:sz w:val="24"/>
        </w:rPr>
        <w:t>With</w:t>
      </w:r>
      <w:r w:rsidRPr="00DF44F1">
        <w:rPr>
          <w:rFonts w:eastAsia="Arial"/>
          <w:sz w:val="24"/>
        </w:rPr>
        <w:t xml:space="preserve"> fire season approaching, Trinity County Office of Emergency Services</w:t>
      </w:r>
      <w:r w:rsidR="00E803D1">
        <w:rPr>
          <w:rFonts w:eastAsia="Arial"/>
          <w:sz w:val="24"/>
        </w:rPr>
        <w:t>,</w:t>
      </w:r>
      <w:r w:rsidRPr="00DF44F1">
        <w:rPr>
          <w:rFonts w:eastAsia="Arial"/>
          <w:sz w:val="24"/>
        </w:rPr>
        <w:t xml:space="preserve"> in collaboration with the Trinity </w:t>
      </w:r>
      <w:r w:rsidR="00DF44F1">
        <w:rPr>
          <w:rFonts w:eastAsia="Arial"/>
          <w:sz w:val="24"/>
        </w:rPr>
        <w:t xml:space="preserve">County </w:t>
      </w:r>
      <w:r w:rsidRPr="00DF44F1">
        <w:rPr>
          <w:rFonts w:eastAsia="Arial"/>
          <w:sz w:val="24"/>
        </w:rPr>
        <w:t>Disaster Council</w:t>
      </w:r>
      <w:r w:rsidR="00E803D1">
        <w:rPr>
          <w:rFonts w:eastAsia="Arial"/>
          <w:sz w:val="24"/>
        </w:rPr>
        <w:t>,</w:t>
      </w:r>
      <w:r w:rsidRPr="00DF44F1">
        <w:rPr>
          <w:rFonts w:eastAsia="Arial"/>
          <w:sz w:val="24"/>
        </w:rPr>
        <w:t xml:space="preserve"> would like to remind all Trin</w:t>
      </w:r>
      <w:r w:rsidR="00E1649C">
        <w:rPr>
          <w:rFonts w:eastAsia="Arial"/>
          <w:sz w:val="24"/>
        </w:rPr>
        <w:t>ity County residents to be prepared</w:t>
      </w:r>
      <w:r w:rsidRPr="00DF44F1">
        <w:rPr>
          <w:rFonts w:eastAsia="Arial"/>
          <w:sz w:val="24"/>
        </w:rPr>
        <w:t>. Whether there is increased risk for wildfire, flood or an earthquake, everyone should have a plan of action, communicate the plan to everyone in the household and then exercise the plan to ensure it can be executed smoothly should it be required during an emergency situation.</w:t>
      </w:r>
      <w:r w:rsidR="00DF44F1">
        <w:rPr>
          <w:rFonts w:eastAsia="Arial"/>
          <w:sz w:val="24"/>
        </w:rPr>
        <w:t xml:space="preserve"> Additionally</w:t>
      </w:r>
      <w:r w:rsidR="00BA64BF">
        <w:rPr>
          <w:rFonts w:eastAsia="Arial"/>
          <w:sz w:val="24"/>
        </w:rPr>
        <w:t>,</w:t>
      </w:r>
      <w:r w:rsidR="00DF44F1">
        <w:rPr>
          <w:rFonts w:eastAsia="Arial"/>
          <w:sz w:val="24"/>
        </w:rPr>
        <w:t xml:space="preserve"> </w:t>
      </w:r>
      <w:r w:rsidR="00706B50">
        <w:rPr>
          <w:rFonts w:eastAsia="Arial"/>
          <w:sz w:val="24"/>
        </w:rPr>
        <w:t xml:space="preserve">it is recommended for </w:t>
      </w:r>
      <w:r w:rsidR="00DF44F1">
        <w:rPr>
          <w:rFonts w:eastAsia="Arial"/>
          <w:sz w:val="24"/>
        </w:rPr>
        <w:t xml:space="preserve">residents </w:t>
      </w:r>
      <w:r w:rsidR="00706B50">
        <w:rPr>
          <w:rFonts w:eastAsia="Arial"/>
          <w:sz w:val="24"/>
        </w:rPr>
        <w:t>to</w:t>
      </w:r>
      <w:r w:rsidR="00DF44F1">
        <w:rPr>
          <w:rFonts w:eastAsia="Arial"/>
          <w:sz w:val="24"/>
        </w:rPr>
        <w:t xml:space="preserve"> build go</w:t>
      </w:r>
      <w:r w:rsidR="00706B50">
        <w:rPr>
          <w:rFonts w:eastAsia="Arial"/>
          <w:sz w:val="24"/>
        </w:rPr>
        <w:t>-</w:t>
      </w:r>
      <w:r w:rsidR="00DF44F1">
        <w:rPr>
          <w:rFonts w:eastAsia="Arial"/>
          <w:sz w:val="24"/>
        </w:rPr>
        <w:t xml:space="preserve">bags with </w:t>
      </w:r>
      <w:r w:rsidR="00706B50">
        <w:rPr>
          <w:rFonts w:eastAsia="Arial"/>
          <w:sz w:val="24"/>
        </w:rPr>
        <w:t>important items</w:t>
      </w:r>
      <w:r w:rsidR="00E1649C">
        <w:rPr>
          <w:rFonts w:eastAsia="Arial"/>
          <w:sz w:val="24"/>
        </w:rPr>
        <w:t xml:space="preserve"> such as</w:t>
      </w:r>
      <w:r w:rsidR="00E65C80">
        <w:rPr>
          <w:rFonts w:eastAsia="Arial"/>
          <w:sz w:val="24"/>
        </w:rPr>
        <w:t>:</w:t>
      </w:r>
      <w:r w:rsidR="00E1649C">
        <w:rPr>
          <w:rFonts w:eastAsia="Arial"/>
          <w:sz w:val="24"/>
        </w:rPr>
        <w:t xml:space="preserve"> </w:t>
      </w:r>
      <w:r w:rsidR="00A01702">
        <w:rPr>
          <w:rFonts w:eastAsia="Arial"/>
          <w:sz w:val="24"/>
        </w:rPr>
        <w:t>important</w:t>
      </w:r>
      <w:r w:rsidR="00E1649C">
        <w:rPr>
          <w:rFonts w:eastAsia="Arial"/>
          <w:sz w:val="24"/>
        </w:rPr>
        <w:t xml:space="preserve"> paperwork</w:t>
      </w:r>
      <w:r w:rsidR="00E65C80">
        <w:rPr>
          <w:rFonts w:eastAsia="Arial"/>
          <w:sz w:val="24"/>
        </w:rPr>
        <w:t xml:space="preserve"> and</w:t>
      </w:r>
      <w:r w:rsidR="00821902">
        <w:rPr>
          <w:rFonts w:eastAsia="Arial"/>
          <w:sz w:val="24"/>
        </w:rPr>
        <w:t xml:space="preserve"> valuables</w:t>
      </w:r>
      <w:r w:rsidR="00E65C80">
        <w:rPr>
          <w:rFonts w:eastAsia="Arial"/>
          <w:sz w:val="24"/>
        </w:rPr>
        <w:t>,</w:t>
      </w:r>
      <w:r w:rsidR="00821902">
        <w:rPr>
          <w:rFonts w:eastAsia="Arial"/>
          <w:sz w:val="24"/>
        </w:rPr>
        <w:t xml:space="preserve"> nonperishable food, </w:t>
      </w:r>
      <w:r w:rsidR="00E65C80">
        <w:rPr>
          <w:rFonts w:eastAsia="Arial"/>
          <w:sz w:val="24"/>
        </w:rPr>
        <w:t xml:space="preserve">drinking </w:t>
      </w:r>
      <w:r w:rsidR="00821902">
        <w:rPr>
          <w:rFonts w:eastAsia="Arial"/>
          <w:sz w:val="24"/>
        </w:rPr>
        <w:t xml:space="preserve">water, </w:t>
      </w:r>
      <w:r w:rsidR="00E65C80">
        <w:rPr>
          <w:rFonts w:eastAsia="Arial"/>
          <w:sz w:val="24"/>
        </w:rPr>
        <w:t xml:space="preserve">season appropriate </w:t>
      </w:r>
      <w:r w:rsidR="00821902">
        <w:rPr>
          <w:rFonts w:eastAsia="Arial"/>
          <w:sz w:val="24"/>
        </w:rPr>
        <w:t xml:space="preserve">clothing, a small first aid kit, flashlight, cell phone charger, etc. </w:t>
      </w:r>
      <w:r w:rsidR="00706B50">
        <w:rPr>
          <w:rFonts w:eastAsia="Arial"/>
          <w:sz w:val="24"/>
        </w:rPr>
        <w:t xml:space="preserve"> </w:t>
      </w:r>
    </w:p>
    <w:p w:rsidR="001D23AE" w:rsidRDefault="00DF44F1" w:rsidP="001D23AE">
      <w:pPr>
        <w:spacing w:before="227" w:line="369" w:lineRule="exact"/>
        <w:jc w:val="both"/>
        <w:textAlignment w:val="baseline"/>
        <w:rPr>
          <w:rFonts w:eastAsia="Arial"/>
          <w:sz w:val="24"/>
        </w:rPr>
      </w:pPr>
      <w:r>
        <w:rPr>
          <w:rFonts w:eastAsia="Arial"/>
          <w:sz w:val="24"/>
        </w:rPr>
        <w:t xml:space="preserve">In addition to having planned courses of action for emergency events, another key component of preparedness is </w:t>
      </w:r>
      <w:r w:rsidR="00A01702">
        <w:rPr>
          <w:rFonts w:eastAsia="Arial"/>
          <w:sz w:val="24"/>
        </w:rPr>
        <w:t>receiving local</w:t>
      </w:r>
      <w:r>
        <w:rPr>
          <w:rFonts w:eastAsia="Arial"/>
          <w:sz w:val="24"/>
        </w:rPr>
        <w:t xml:space="preserve"> emergency information alerts which could provide valuable, and </w:t>
      </w:r>
      <w:r w:rsidR="00A01702">
        <w:rPr>
          <w:rFonts w:eastAsia="Arial"/>
          <w:sz w:val="24"/>
        </w:rPr>
        <w:t>at times,</w:t>
      </w:r>
      <w:r>
        <w:rPr>
          <w:rFonts w:eastAsia="Arial"/>
          <w:sz w:val="24"/>
        </w:rPr>
        <w:t xml:space="preserve"> critical emergency information. </w:t>
      </w:r>
      <w:r w:rsidR="00E803D1" w:rsidRPr="006C104F">
        <w:rPr>
          <w:rFonts w:eastAsia="Arial"/>
          <w:sz w:val="24"/>
        </w:rPr>
        <w:t>Trinity County residents should</w:t>
      </w:r>
      <w:r w:rsidR="00A01702" w:rsidRPr="006C104F">
        <w:rPr>
          <w:rFonts w:eastAsia="Arial"/>
          <w:sz w:val="24"/>
        </w:rPr>
        <w:t xml:space="preserve"> </w:t>
      </w:r>
      <w:r w:rsidR="00E803D1" w:rsidRPr="006C104F">
        <w:rPr>
          <w:rFonts w:eastAsia="Arial"/>
          <w:sz w:val="24"/>
        </w:rPr>
        <w:t>register their</w:t>
      </w:r>
      <w:r w:rsidR="00A01702" w:rsidRPr="006C104F">
        <w:rPr>
          <w:rFonts w:eastAsia="Arial"/>
          <w:sz w:val="24"/>
        </w:rPr>
        <w:t xml:space="preserve"> phone number(s) (landline and/or cell phone numbers)</w:t>
      </w:r>
      <w:r w:rsidR="00E803D1" w:rsidRPr="006C104F">
        <w:rPr>
          <w:rFonts w:eastAsia="Arial"/>
          <w:sz w:val="24"/>
        </w:rPr>
        <w:t xml:space="preserve"> with CodeRED</w:t>
      </w:r>
      <w:r w:rsidR="00A01702" w:rsidRPr="006C104F">
        <w:rPr>
          <w:rFonts w:eastAsia="Arial"/>
          <w:sz w:val="24"/>
        </w:rPr>
        <w:t xml:space="preserve">, so </w:t>
      </w:r>
      <w:r w:rsidR="00E803D1" w:rsidRPr="006C104F">
        <w:rPr>
          <w:rFonts w:eastAsia="Arial"/>
          <w:sz w:val="24"/>
        </w:rPr>
        <w:t>they</w:t>
      </w:r>
      <w:r w:rsidR="00A01702" w:rsidRPr="006C104F">
        <w:rPr>
          <w:rFonts w:eastAsia="Arial"/>
          <w:sz w:val="24"/>
        </w:rPr>
        <w:t xml:space="preserve"> can receive emergency alerts from the Trinity County Office of Emergency Services and</w:t>
      </w:r>
      <w:r w:rsidR="00A01702">
        <w:rPr>
          <w:rFonts w:eastAsia="Arial"/>
          <w:sz w:val="24"/>
        </w:rPr>
        <w:t xml:space="preserve"> the Sheriff Department through the reverse 911 system - CodeRED.</w:t>
      </w:r>
      <w:r>
        <w:rPr>
          <w:rFonts w:eastAsia="Arial"/>
          <w:sz w:val="24"/>
        </w:rPr>
        <w:t xml:space="preserve"> </w:t>
      </w:r>
      <w:r w:rsidR="00A01702">
        <w:rPr>
          <w:rFonts w:eastAsia="Arial"/>
          <w:sz w:val="24"/>
        </w:rPr>
        <w:t xml:space="preserve">An alert received through the CodeRED system will contain </w:t>
      </w:r>
      <w:r w:rsidR="00F3327A">
        <w:rPr>
          <w:rFonts w:eastAsia="Arial"/>
          <w:sz w:val="24"/>
        </w:rPr>
        <w:t>location-specific, time-</w:t>
      </w:r>
      <w:r w:rsidR="00A01702">
        <w:rPr>
          <w:rFonts w:eastAsia="Arial"/>
          <w:sz w:val="24"/>
        </w:rPr>
        <w:t>sensitive</w:t>
      </w:r>
      <w:r w:rsidR="001D23AE" w:rsidRPr="00DF44F1">
        <w:rPr>
          <w:rFonts w:eastAsia="Arial"/>
          <w:sz w:val="24"/>
        </w:rPr>
        <w:t xml:space="preserve"> </w:t>
      </w:r>
      <w:r w:rsidR="00F3327A">
        <w:rPr>
          <w:rFonts w:eastAsia="Arial"/>
          <w:sz w:val="24"/>
        </w:rPr>
        <w:t xml:space="preserve">information. It is free to sign up and you can choose which method of contact you prefer, such as voice, text or email. For more information, please go to Trinity County OES website at &lt;http://www.trinitycounty.org/index.aspx?page=441&gt; or </w:t>
      </w:r>
      <w:bookmarkStart w:id="0" w:name="_GoBack"/>
      <w:bookmarkEnd w:id="0"/>
      <w:r w:rsidR="00F3327A">
        <w:rPr>
          <w:rFonts w:eastAsia="Arial"/>
          <w:sz w:val="24"/>
        </w:rPr>
        <w:t xml:space="preserve">Trinity County Emergency Preparedness website at </w:t>
      </w:r>
      <w:r w:rsidR="0048295A">
        <w:rPr>
          <w:rFonts w:eastAsia="Arial"/>
          <w:sz w:val="24"/>
        </w:rPr>
        <w:t>&lt;</w:t>
      </w:r>
      <w:r w:rsidR="0048295A" w:rsidRPr="0048295A">
        <w:rPr>
          <w:rFonts w:eastAsia="Arial"/>
          <w:sz w:val="24"/>
        </w:rPr>
        <w:t>http://www.trinitycounty.org/index.aspx?page=267</w:t>
      </w:r>
      <w:r w:rsidR="0048295A">
        <w:rPr>
          <w:rFonts w:eastAsia="Arial"/>
          <w:sz w:val="24"/>
        </w:rPr>
        <w:t>&gt;.</w:t>
      </w:r>
    </w:p>
    <w:p w:rsidR="0048295A" w:rsidRDefault="0048295A" w:rsidP="0048295A">
      <w:pPr>
        <w:jc w:val="both"/>
        <w:textAlignment w:val="baseline"/>
        <w:rPr>
          <w:rFonts w:eastAsia="Arial"/>
          <w:sz w:val="24"/>
        </w:rPr>
      </w:pPr>
    </w:p>
    <w:p w:rsidR="0048295A" w:rsidRDefault="0048295A" w:rsidP="0048295A">
      <w:pPr>
        <w:jc w:val="both"/>
        <w:textAlignment w:val="baseline"/>
        <w:rPr>
          <w:rFonts w:eastAsia="Arial"/>
          <w:sz w:val="24"/>
        </w:rPr>
      </w:pPr>
    </w:p>
    <w:p w:rsidR="0048295A" w:rsidRDefault="0048295A" w:rsidP="0048295A">
      <w:pPr>
        <w:jc w:val="both"/>
        <w:textAlignment w:val="baseline"/>
        <w:rPr>
          <w:rFonts w:eastAsia="Arial"/>
          <w:sz w:val="24"/>
        </w:rPr>
      </w:pPr>
      <w:r>
        <w:rPr>
          <w:rFonts w:eastAsia="Arial"/>
          <w:sz w:val="24"/>
        </w:rPr>
        <w:t>Ed Prestley</w:t>
      </w:r>
    </w:p>
    <w:p w:rsidR="0048295A" w:rsidRDefault="0048295A" w:rsidP="0048295A">
      <w:pPr>
        <w:jc w:val="both"/>
        <w:textAlignment w:val="baseline"/>
        <w:rPr>
          <w:rFonts w:eastAsia="Arial"/>
          <w:sz w:val="24"/>
        </w:rPr>
      </w:pPr>
      <w:r>
        <w:rPr>
          <w:rFonts w:eastAsia="Arial"/>
          <w:sz w:val="24"/>
        </w:rPr>
        <w:t>OES Manager</w:t>
      </w:r>
    </w:p>
    <w:p w:rsidR="0048295A" w:rsidRDefault="0048295A" w:rsidP="0048295A">
      <w:pPr>
        <w:jc w:val="both"/>
        <w:textAlignment w:val="baseline"/>
        <w:rPr>
          <w:rFonts w:eastAsia="Arial"/>
          <w:sz w:val="24"/>
        </w:rPr>
      </w:pPr>
      <w:r>
        <w:rPr>
          <w:rFonts w:eastAsia="Arial"/>
          <w:sz w:val="24"/>
        </w:rPr>
        <w:t>Trinity County</w:t>
      </w:r>
    </w:p>
    <w:p w:rsidR="0048295A" w:rsidRPr="00DF44F1" w:rsidRDefault="0048295A" w:rsidP="00E803D1">
      <w:pPr>
        <w:jc w:val="both"/>
        <w:textAlignment w:val="baseline"/>
        <w:rPr>
          <w:rFonts w:eastAsia="Arial"/>
          <w:sz w:val="24"/>
        </w:rPr>
      </w:pPr>
      <w:r>
        <w:rPr>
          <w:rFonts w:eastAsia="Arial"/>
          <w:sz w:val="24"/>
        </w:rPr>
        <w:t>(530) 623-1116</w:t>
      </w:r>
    </w:p>
    <w:sectPr w:rsidR="0048295A" w:rsidRPr="00DF44F1" w:rsidSect="001D23AE">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MS Gothic">
    <w:charset w:val="00"/>
    <w:pitch w:val="fixed"/>
    <w:family w:val="auto"/>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A33"/>
    <w:rsid w:val="001D23AE"/>
    <w:rsid w:val="00212C30"/>
    <w:rsid w:val="0048295A"/>
    <w:rsid w:val="00663A33"/>
    <w:rsid w:val="006C104F"/>
    <w:rsid w:val="00706B50"/>
    <w:rsid w:val="00821902"/>
    <w:rsid w:val="00A01702"/>
    <w:rsid w:val="00BA64BF"/>
    <w:rsid w:val="00DF44F1"/>
    <w:rsid w:val="00E1649C"/>
    <w:rsid w:val="00E33F44"/>
    <w:rsid w:val="00E65C80"/>
    <w:rsid w:val="00E803D1"/>
    <w:rsid w:val="00F33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B0A3A1-9EE8-481B-9642-7E6435791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9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Braxton</dc:creator>
  <cp:lastModifiedBy>Edward Prestley</cp:lastModifiedBy>
  <cp:revision>4</cp:revision>
  <dcterms:created xsi:type="dcterms:W3CDTF">2018-05-24T22:40:00Z</dcterms:created>
  <dcterms:modified xsi:type="dcterms:W3CDTF">2018-05-24T23:16:00Z</dcterms:modified>
</cp:coreProperties>
</file>